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b/>
          <w:bCs/>
          <w:lang w:eastAsia="zh-CN"/>
        </w:rPr>
      </w:pPr>
      <w:r>
        <w:rPr>
          <w:b/>
          <w:bCs/>
          <w:sz w:val="18"/>
          <w:szCs w:val="18"/>
        </w:rPr>
        <w:t>鹰潭市财政局关于转发《关于转发财政部会计资格评价中心〈关于做好2017年度全国会计专业技术中、高级资格考试补报名工作的通知〉的通知》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97750"/>
            <wp:effectExtent l="0" t="0" r="10160" b="1270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9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15200"/>
            <wp:effectExtent l="0" t="0" r="1016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69810"/>
            <wp:effectExtent l="0" t="0" r="10160" b="254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6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99020"/>
            <wp:effectExtent l="0" t="0" r="5715" b="1143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9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53300"/>
            <wp:effectExtent l="0" t="0" r="5715" b="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52030"/>
            <wp:effectExtent l="0" t="0" r="10160" b="127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5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B7CE3"/>
    <w:rsid w:val="764B7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2017-06-30T09:04:00Z</dcterms:created>
  <dc:creator>ibm</dc:creator>
  <cp:lastModifiedBy>ibm</cp:lastModifiedBy>
  <dcterms:modified xsi:type="dcterms:W3CDTF">2017-06-30T09:06:49Z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